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71" w:rsidRPr="007577B5" w:rsidRDefault="00675471" w:rsidP="0067547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A232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 </w:t>
      </w:r>
      <w:r w:rsidRPr="007577B5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:rsidR="00675471" w:rsidRPr="00A232E7" w:rsidRDefault="00675471" w:rsidP="0067547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</w:t>
      </w:r>
    </w:p>
    <w:p w:rsidR="00675471" w:rsidRPr="00A232E7" w:rsidRDefault="00675471" w:rsidP="0067547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территорий от чрезвычайных ситуаций, обеспечение пожарной безопасности </w:t>
      </w:r>
    </w:p>
    <w:p w:rsidR="00675471" w:rsidRPr="00A232E7" w:rsidRDefault="00675471" w:rsidP="0067547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32E7">
        <w:rPr>
          <w:rFonts w:ascii="Times New Roman" w:eastAsia="Times New Roman" w:hAnsi="Times New Roman" w:cs="Times New Roman"/>
          <w:sz w:val="28"/>
          <w:szCs w:val="20"/>
          <w:lang w:eastAsia="ru-RU"/>
        </w:rPr>
        <w:t>и безопасности людей на водных объектах»</w:t>
      </w:r>
    </w:p>
    <w:p w:rsidR="00675471" w:rsidRPr="00A232E7" w:rsidRDefault="00675471" w:rsidP="00675471">
      <w:pPr>
        <w:spacing w:line="360" w:lineRule="atLeast"/>
        <w:ind w:left="836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32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2020 году (по форме таблицы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A232E7"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5000" w:type="pct"/>
        <w:tblLook w:val="04A0"/>
      </w:tblPr>
      <w:tblGrid>
        <w:gridCol w:w="14174"/>
      </w:tblGrid>
      <w:tr w:rsidR="00493280" w:rsidTr="00675471">
        <w:tc>
          <w:tcPr>
            <w:tcW w:w="5000" w:type="pct"/>
          </w:tcPr>
          <w:p w:rsidR="00493280" w:rsidRDefault="00493280">
            <w:pPr>
              <w:jc w:val="right"/>
            </w:pPr>
          </w:p>
        </w:tc>
      </w:tr>
      <w:tr w:rsidR="00493280" w:rsidTr="00675471">
        <w:tc>
          <w:tcPr>
            <w:tcW w:w="500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достижении значений показателей (индикаторов)</w:t>
            </w:r>
          </w:p>
        </w:tc>
      </w:tr>
    </w:tbl>
    <w:p w:rsidR="00493280" w:rsidRDefault="00493280"/>
    <w:tbl>
      <w:tblPr>
        <w:tblStyle w:val="a3"/>
        <w:tblW w:w="0" w:type="pct"/>
        <w:tblLook w:val="04A0"/>
      </w:tblPr>
      <w:tblGrid>
        <w:gridCol w:w="701"/>
        <w:gridCol w:w="3766"/>
        <w:gridCol w:w="1849"/>
        <w:gridCol w:w="1850"/>
        <w:gridCol w:w="1850"/>
        <w:gridCol w:w="1850"/>
        <w:gridCol w:w="2308"/>
      </w:tblGrid>
      <w:tr w:rsidR="00493280">
        <w:trPr>
          <w:tblHeader/>
        </w:trPr>
        <w:tc>
          <w:tcPr>
            <w:tcW w:w="270" w:type="pct"/>
            <w:vMerge w:val="restar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351" w:type="pct"/>
            <w:vMerge w:val="restar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показателя (индикатора)</w:t>
            </w:r>
          </w:p>
        </w:tc>
        <w:tc>
          <w:tcPr>
            <w:tcW w:w="675" w:type="pct"/>
            <w:vMerge w:val="restar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675" w:type="pct"/>
            <w:gridSpan w:val="3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Значения показателей (индикаторов) государственной программы, подпрограммы государственной программы, федеральной целевой программы (подпрограммы федеральной                         целевой программы)</w:t>
            </w:r>
          </w:p>
        </w:tc>
        <w:tc>
          <w:tcPr>
            <w:tcW w:w="679" w:type="pct"/>
            <w:vMerge w:val="restar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493280">
        <w:trPr>
          <w:tblHeader/>
        </w:trPr>
        <w:tc>
          <w:tcPr>
            <w:tcW w:w="270" w:type="pct"/>
            <w:vMerge/>
          </w:tcPr>
          <w:p w:rsidR="00493280" w:rsidRDefault="00493280"/>
        </w:tc>
        <w:tc>
          <w:tcPr>
            <w:tcW w:w="1351" w:type="pct"/>
            <w:vMerge/>
          </w:tcPr>
          <w:p w:rsidR="00493280" w:rsidRDefault="00493280"/>
        </w:tc>
        <w:tc>
          <w:tcPr>
            <w:tcW w:w="675" w:type="pct"/>
            <w:vMerge/>
          </w:tcPr>
          <w:p w:rsidR="00493280" w:rsidRDefault="00493280"/>
        </w:tc>
        <w:tc>
          <w:tcPr>
            <w:tcW w:w="675" w:type="pct"/>
            <w:vMerge w:val="restar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675" w:type="pct"/>
            <w:gridSpan w:val="2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679" w:type="pct"/>
            <w:vMerge/>
          </w:tcPr>
          <w:p w:rsidR="00493280" w:rsidRDefault="00493280"/>
        </w:tc>
      </w:tr>
      <w:tr w:rsidR="00493280">
        <w:trPr>
          <w:tblHeader/>
        </w:trPr>
        <w:tc>
          <w:tcPr>
            <w:tcW w:w="270" w:type="pct"/>
            <w:vMerge/>
          </w:tcPr>
          <w:p w:rsidR="00493280" w:rsidRDefault="00493280"/>
        </w:tc>
        <w:tc>
          <w:tcPr>
            <w:tcW w:w="1351" w:type="pct"/>
            <w:vMerge/>
          </w:tcPr>
          <w:p w:rsidR="00493280" w:rsidRDefault="00493280"/>
        </w:tc>
        <w:tc>
          <w:tcPr>
            <w:tcW w:w="675" w:type="pct"/>
            <w:vMerge/>
          </w:tcPr>
          <w:p w:rsidR="00493280" w:rsidRDefault="00493280"/>
        </w:tc>
        <w:tc>
          <w:tcPr>
            <w:tcW w:w="675" w:type="pct"/>
            <w:vMerge/>
          </w:tcPr>
          <w:p w:rsidR="00493280" w:rsidRDefault="00493280"/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679" w:type="pct"/>
            <w:vMerge/>
          </w:tcPr>
          <w:p w:rsidR="00493280" w:rsidRDefault="00493280"/>
        </w:tc>
      </w:tr>
      <w:tr w:rsidR="00493280">
        <w:trPr>
          <w:tblHeader/>
        </w:trPr>
        <w:tc>
          <w:tcPr>
            <w:tcW w:w="270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79" w:type="pct"/>
          </w:tcPr>
          <w:p w:rsidR="00493280" w:rsidRDefault="007E385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Государственная программа 10. 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Экономический ущерб от деструктивных событий (чрезвычайных ситуаций, пожаров, происшествий на водных объектах), в ценах 2010 года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млрд. рублей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124,2419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158,1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176,397</w:t>
            </w:r>
          </w:p>
        </w:tc>
        <w:tc>
          <w:tcPr>
            <w:tcW w:w="679" w:type="pct"/>
          </w:tcPr>
          <w:p w:rsidR="00493280" w:rsidRDefault="007E3858">
            <w:proofErr w:type="gramStart"/>
            <w:r>
              <w:rPr>
                <w:rFonts w:ascii="Times New Roman" w:hAnsi="Times New Roman" w:cs="Times New Roman"/>
              </w:rPr>
              <w:t>Не достигнут. 29.05.2020 в результате аварии, произошедшей на территории ТЭЦ-3 АО «</w:t>
            </w:r>
            <w:proofErr w:type="spellStart"/>
            <w:r>
              <w:rPr>
                <w:rFonts w:ascii="Times New Roman" w:hAnsi="Times New Roman" w:cs="Times New Roman"/>
              </w:rPr>
              <w:t>Норильско-Таймырская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энергетическая компания», произошѐл разлив 21 163 тонн топлива с последующим попаданием в ручей без названия, впадающий в реку </w:t>
            </w:r>
            <w:proofErr w:type="spellStart"/>
            <w:r>
              <w:rPr>
                <w:rFonts w:ascii="Times New Roman" w:hAnsi="Times New Roman" w:cs="Times New Roman"/>
              </w:rPr>
              <w:t>Далдыкан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впадающую в реку Амбарная, впадающую в оз. </w:t>
            </w:r>
            <w:proofErr w:type="spellStart"/>
            <w:r>
              <w:rPr>
                <w:rFonts w:ascii="Times New Roman" w:hAnsi="Times New Roman" w:cs="Times New Roman"/>
              </w:rPr>
              <w:t>Пясино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далее в Карский залив.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Площадь </w:t>
            </w:r>
            <w:r>
              <w:rPr>
                <w:rFonts w:ascii="Times New Roman" w:hAnsi="Times New Roman" w:cs="Times New Roman"/>
              </w:rPr>
              <w:lastRenderedPageBreak/>
              <w:t>загрязнѐнных земельных участков составила 8,9 га. В ходе ликвидации ЧС собрано и вывезено в места складирования на территории ТЭЦ-3 188 502 тонны загрязненного поверхностного грунта, собрано топливно-водяной смеси общим объѐмом 34 617 м³. Материальный ущерб оценивается в 148,2 млрд. рублей.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чрезвычайных ситуаций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0,285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0,331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Не достигнут. В 2020 году на территории Российской Федерации произошла 331 чрезвычайная ситуация (АППГ – 266), из них наибольшее количество составляют: дорожно-</w:t>
            </w:r>
            <w:r>
              <w:rPr>
                <w:rFonts w:ascii="Times New Roman" w:hAnsi="Times New Roman" w:cs="Times New Roman"/>
              </w:rPr>
              <w:lastRenderedPageBreak/>
              <w:t xml:space="preserve">транспортные происшествия (82, АППГ – 119), эпизоотии (58, АППГ – 14), прохождение комплексов опасных </w:t>
            </w:r>
            <w:proofErr w:type="spellStart"/>
            <w:r>
              <w:rPr>
                <w:rFonts w:ascii="Times New Roman" w:hAnsi="Times New Roman" w:cs="Times New Roman"/>
              </w:rPr>
              <w:t>метеоявлений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(36, АППГ – 24), опасные гидрологические явления (28, АППГ – 17), авиакатастрофы            (28, АППГ – 28) и природные пожары (25, АППГ – 6).  Отмечаю рост количества ЧС по сравнению с 2019 годом во всех федеральных округах (ДФО - 89,74%, УФО - 66,67%,                        ПФО - 3,57%, ЮФО - 39,47%, СКФО - 4,55%, СЗФО - 15,79%, ЦФО - 13,04%) за исключением Сибирского, где </w:t>
            </w:r>
            <w:r>
              <w:rPr>
                <w:rFonts w:ascii="Times New Roman" w:hAnsi="Times New Roman" w:cs="Times New Roman"/>
              </w:rPr>
              <w:lastRenderedPageBreak/>
              <w:t>количество ЧС снизилось на 14,7% (2019 – 34, 2020 – 29).  Наибольшее количество зафиксировано в Приморском (42, АППГ – 11),  Краснодарском (17, АППГ – 18), Ставропольском (15, АППГ – 8) краях, Саратовской (13,  АППГ – 7), Нижегородской (11,  АППГ – 9), Ростовской (12,  АППГ – 8)  и Воронежской (10,  АППГ – 5) областях.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зарегистрированных пожаров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471,357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зарегистрированных пожаров в зданиях и сооружениях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152,127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происшествий на водных объектах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3,483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3,588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Сокращение количества лиц, погибших в чрезвычайных ситуациях (по отношению к показателю 2011 года)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58,78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Сокращение количества лиц, погибших на пожарах (по отношению к показателю 2011 года)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28,45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31,91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Достигнут. 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постановлением Правительства Российской Федерации от 27.03.2020 № 357 плановое значение показателя на 2020 год составляет 17,11%.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Сокращение количества лиц, погибших в происшествиях на водных объектах (по отношению к показателю 2011 года)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51,68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49,77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удовлетворенности граждан Российской Федерации качеством представления государственных услуг, оказываемых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Достигнут. 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постановлением Правительства Российской Федерации от 27.03.2020 № 357 плановое значение показателя на 2020 год составляет 94%.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услуг в электронной форме, в общем количестве граждан, получивших государственные услуги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14,99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Среднее время прибытия пожарно-спасательных подразделений на чрезвычайные ситуации и пожары в городе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Не достигнут. Система реагирования пожарных подразделений в субъектах Российской Федерации реализована в соответствии со статьей 63 приказа МЧС России                  от 25.10.2017 № 467 "Об утверждении Положения о пожарно-спасательных гарнизонах" (зарегистрирован в Минюсте России 09.02.2018 N 49998), а именно: разделение территорий муниципальных образований на районы выезда </w:t>
            </w:r>
            <w:proofErr w:type="spellStart"/>
            <w:r>
              <w:rPr>
                <w:rFonts w:ascii="Times New Roman" w:hAnsi="Times New Roman" w:cs="Times New Roman"/>
              </w:rPr>
              <w:t>подразделений</w:t>
            </w:r>
            <w:proofErr w:type="gramStart"/>
            <w:r>
              <w:rPr>
                <w:rFonts w:ascii="Times New Roman" w:hAnsi="Times New Roman" w:cs="Times New Roman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учетом оптимальной дислокации подразделений, прибытия первого подразделения в наиболее удаленную точку района выезда в максимально короткое время; обеспечение возможности в максимально короткое время сосредоточения на месте крупного пожара сил и средств местного гарнизона в количестве, необходимом для локализации пожара на начальной стадии его развития; возможность ликвидации силами и средствами местного гарнизона одновременно двух пожаров. Строительство, размещение и определение мест дислокации вновь создаваемых подразделений пожарной охраны осуществляется и определяется исходя из требований статьи 76 Федеральный закон от 22.07.2008 № 123-ФЗ "Технический регламент о требованиях пожарной безопасности" и СП 11.13130.2009. "Свод правил. Места дислокации подразделений пожарной охраны. Порядок и методика определения" (утв. Приказом МЧС РФ от 25.03.2009 № 181).  Одной из основных задач в деятельности МЧС России является снижение времени реагирования на пожары и другие чрезвычайные происшествия, а также проведения комплекса работ, направленных на доведение до минимального уровня негативных последствий пожаров. Вместе с тем, кроме развития системы пожарно-спасательных гарнизонов, интенсивно развивается и инфраструктура, стояться все больше зданий торговой промышленности и жилого сектора, а также ежегодно увеличивается количество транспортных средств, как легковых, так и грузовых автомобилей.  </w:t>
            </w:r>
            <w:proofErr w:type="gramStart"/>
            <w:r>
              <w:rPr>
                <w:rFonts w:ascii="Times New Roman" w:hAnsi="Times New Roman" w:cs="Times New Roman"/>
              </w:rPr>
              <w:t>Так с 2015 по 2019 гг. прирост количества грузовых автомобилей составил 5%, а количество легковых автомобилей – 9,44% (данные Федеральной службы государственной статистики "Основные итоги работы транспорта.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Наличие транспортных средств Российской Федерации").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Данный рост происходит ежегодно, вместе с тем развитие и совершенствование транспортных сетей происходит с минимальным уровнем, так протяженность автомобильных дорог общего пользования с 2015 по 2019 год  выросла на 36 тыс. км. Данная статистика показывает, что с каждым годом прирост транспортных средств увеличивается в прогрессии, а развитие транспортных сетей не успевает за данным ростом, что значительно влияет на состояние дорожного движения – увеличивается количество заторов и их протяженность, увеличение количества дорожно-транспортных происшествий и перекрытия (ремонт) дорог. Ежегодно увеличивается общая площадь и плотность жилого фонда, так прирост количества жилого фонда в 2019 году, по отношению к 2015 составляет 7,6% (2019 г. – 3 856 820 тыс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2; 2015 г. – 3 581 273 тыс.м2), а также увеличивается количество объектов торговли и промышленности (данные Единой межведомственной информационно-статистической системы). На вооружении пожарно-спасательных подразделений МЧС России находится 16 537 единиц техники стоящей на федеральном балансе, из которых   6 975 единиц из которых имеют срок эксплуатации старше 20 лет, что составляет 42%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имеющейся в наличии. На основании изложенного, все эти факторы напрямую влияют на время оперативного реагирования, а именно на время прибытия пожарных подразделений. Ввиду этого, снижение показателей времени оперативного реагирования по прибытию пожарных подразделения к месту вызова, спрогнозированное в 2015 году, оказалось нереализуемым в последние годы.*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Среднее время прибытия пожарно-спасательных подразделений на чрезвычайные ситуации и пожары в сельской местности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12,23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11,07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12,37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Не достигнут. * Обоснование отклонений значений изложено выше.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оправдавшихся прогнозов чрезвычайных ситуаций, подготовленных системой мониторинга и прогнозирования чрезвычайных ситуаций, в общем количестве прогнозов чрезвычайных ситуаций (достоверность прогноза)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готовности центров управления в кризисных ситуациях к действиям при ликвидации чрезвычайных ситуаций и последствий террористических актов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аварий на опасных производственных объектах (на 1000 опасных производственных объектов)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аварийности маломерных судов (на 10000 судов)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гибели людей при эксплуатации маломерных судов (на 10000 судов)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Авиационное обеспечение оперативной деятельности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7 723,18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6 541,5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6 357,37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Достигнут.  Отклонение показателя укладывается в допустимые 10%. Отклонение связано с ограничительными мерами в связи с распространением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инфекции.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проведенных экспертиз по делам о пожарах и нарушениях требований пожарной безопасности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17 228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14 935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17 877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отмененных постановлений органов государственного пожарного надзора о назначении административных наказаний в расчете на 1000 вынесенных постановлений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3,82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руководящего состава и должностных лиц, прошедших обучение по вопросам гражданской обороны, защиты от чрезвычайных ситуаций и террористических актов, в общем количестве руководящего состава и должностных лиц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2019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спасателей поисково-спасательных формирований МЧС России, подтвердивших (повысивших) классную квалификацию, в общем количестве спасателей поисково-спасательных формирований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военнослужащих, проходящих службу по контракту в спасательных воинских формированиях МЧС России, подтвердивших (повысивших) классную квалификацию, в общем количестве военнослужащих, проходящих службу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Доля сотрудников специальных подразделений федеральной противопожарной службы Государственной противопожарной службы, аттестованных на право ведения первоочередных аварийно-спасательных </w:t>
            </w:r>
            <w:proofErr w:type="spellStart"/>
            <w:r>
              <w:rPr>
                <w:rFonts w:ascii="Times New Roman" w:hAnsi="Times New Roman" w:cs="Times New Roman"/>
              </w:rPr>
              <w:t>работ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общем количестве сотрудников специальных подразделений федеральной противопожарной службы Государственной противопожарной службы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членов вспомогательных горноспасательных команд, прошедших обучение по программе подготовки спасателей к ведению горноспасательных работ в составе вспомогательных горноспасательных команд в специализированных учебных центрах МЧС России, в общем количестве членов вспомогательных горноспасательных команд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Техническая оснащенность инфраструктуры системы </w:t>
            </w:r>
            <w:proofErr w:type="gramStart"/>
            <w:r>
              <w:rPr>
                <w:rFonts w:ascii="Times New Roman" w:hAnsi="Times New Roman" w:cs="Times New Roman"/>
              </w:rPr>
              <w:t>антикризисного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управления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Обеспеченность организаций, находящихся в ведении МЧС России, основными видами материальных средств (продовольствием, горюче-смазочными материалами, вещевым имуществом и экипировкой)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авиационной техники, требующей ремонта и технического обслуживания, в общей списочной численности авиационной техники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Достигнут. 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постановлением Правительства Российской Федерации от 27.03.2020 № 357 плановое значение показателя на 2020 год составляет 29,2%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Укомплектованность поисково-спасательных формирований МЧС России средствами ведения аварийно-спасательных работ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современных образцов техники и вооружения в спасательных воинских формированиях МЧС России в общем количестве образцов техники и вооружения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Укомплектованность подразделений федеральной противопожарной службы Государственной противопожарной службы пожарной техникой, средствами защиты и пожарно-техническим вооружением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Не достигнут. Отклонение связано с недостаточным финансированием. 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подпунктом "а" пункта 1 перечня поручений Президента Российской Федерации В.В. Путина от 03.11.2020 № 1784 Правительством Российской Федерации дополнительно выделены бюджетные ассигнования в размере 6 млрд. рублей. Вместе с тем в соответствии с подпунктом "б" пункта 1 указанного поручения МЧС России организована работа по разработке программы технического переоснащения подразделений МЧС России пожарной, спасательной, специальной и авиационной техникой и ее содержания до 2030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Обеспеченность современными образцами техники подразделений федеральной противопожарной службы Государственной противопожарной службы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отделений военизированного горноспасательного отряда быстрого реагирования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топливо-энергетических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ресурсов, потребленных на содержание 1 квадратного метра основных фондов МЧС России в течение одного года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тонн условного топлива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0,0658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0,0655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0,0655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достижения цели предоставления субсидий из федерального бюджета социально ориентированным некоммерческим организациям, осуществляющим деятельность в области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достижения соответствия мероприятий программы социально ориентированных некоммерческих организаций, осуществляющих деятельность в области защиты населения и территорий от чрезвычайных ситуаций, обеспечения пожарной безопасности и безопасности людей на водных объектах, мероприятиям, финансируемым за счет средств субсидии и предусмотренным соглашением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</w:rPr>
              <w:t>достижения значений показателей результативности предоставления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субсидий, предусмотренных соглашением, социально ориентированными некоммерческими организациями, осуществляющими деятельность в области защиты населения и территорий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Достигнут. </w:t>
            </w:r>
            <w:proofErr w:type="spellStart"/>
            <w:r>
              <w:rPr>
                <w:rFonts w:ascii="Times New Roman" w:hAnsi="Times New Roman" w:cs="Times New Roman"/>
              </w:rPr>
              <w:t>Передостижение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показателя связано с принятием ограничительных мер по недопущению распространения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инфекции, в связи с обучение населения, спланированного социально ориентированными некоммерческими организациями в виде курсов, мастер классов и т.д., проведено в </w:t>
            </w: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режиме, что позволило повысить количество обученных.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Выполнение плана мероприятий международного сотрудничества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Среднее количество случаев оказания экстренной психологической помощи гражданам с целью сохранения психического здоровья, приходящееся на одного психолога МЧС России в год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Уровень обеспеченности психологического сопровождения профессиональных контингентов МЧС России и аварийно-спасательных и  других неотложных работ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83,08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Темп прироста реальной заработной платы работников бюджетных, казенных и автономных учреждений в системе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2019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Обеспеченность жилыми помещениями сотрудников федеральной противопожарной службы Государственной противопожарной службы, состоящих на учете на 1 января 2012 г.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 Отклонение показателя связано с доведением дополнительного финансирования на предоставление ЕСВ.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Обеспеченность жилыми помещениями военнослужащих спасательных воинских формирований, состоящих на учете на 1 января 2015 г.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 Отклонение связано с дополнительного финансирования на предоставление жилищной субсидии.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Количество участников </w:t>
            </w:r>
            <w:proofErr w:type="spellStart"/>
            <w:r>
              <w:rPr>
                <w:rFonts w:ascii="Times New Roman" w:hAnsi="Times New Roman" w:cs="Times New Roman"/>
              </w:rPr>
              <w:t>накопительно-ипотечной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жилищного обеспечения военнослужащих спасательных воинских формирований МЧС России</w:t>
            </w:r>
          </w:p>
        </w:tc>
        <w:tc>
          <w:tcPr>
            <w:tcW w:w="675" w:type="pct"/>
          </w:tcPr>
          <w:p w:rsidR="00493280" w:rsidRDefault="007E3858">
            <w:proofErr w:type="spellStart"/>
            <w:r>
              <w:rPr>
                <w:rFonts w:ascii="Times New Roman" w:hAnsi="Times New Roman" w:cs="Times New Roman"/>
              </w:rPr>
              <w:t>ч</w:t>
            </w:r>
            <w:proofErr w:type="gramStart"/>
            <w:r>
              <w:rPr>
                <w:rFonts w:ascii="Times New Roman" w:hAnsi="Times New Roman" w:cs="Times New Roman"/>
              </w:rPr>
              <w:t>e</w:t>
            </w:r>
            <w:proofErr w:type="gramEnd"/>
            <w:r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2 678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2 978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2 977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Не достигнут. Отклонение связано со смертью военнослужащего.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кандидатов и докторов наук в общей численности научно-преподавательского состава научных и образовательных организаций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Количество специалистов, подготовленных образовательными организациями, подведомственными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50,68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зарегистрированных результатов интеллектуальной деятельности, полученных в результате выполнения научно-исследовательских и опытно-конструкторских работ по заказу МЧС России, в общем количестве результатов интеллектуальной деятельности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использованных результатов интеллектуальной деятельности, полученных в результате выполнения научно-исследовательских и опытно-конструкторских работ по заказу МЧС России, в общем количестве результатов интеллектуальной деятельности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внутренних затрат на научные исследования и разработки в общем объеме финансирования государственной программы Российской Федерации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Посещаемость </w:t>
            </w:r>
            <w:proofErr w:type="gramStart"/>
            <w:r>
              <w:rPr>
                <w:rFonts w:ascii="Times New Roman" w:hAnsi="Times New Roman" w:cs="Times New Roman"/>
              </w:rPr>
              <w:t>официального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интернет-портала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других </w:t>
            </w:r>
            <w:proofErr w:type="spellStart"/>
            <w:r>
              <w:rPr>
                <w:rFonts w:ascii="Times New Roman" w:hAnsi="Times New Roman" w:cs="Times New Roman"/>
              </w:rPr>
              <w:t>интернет-ресурсов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МЧС России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млн. человек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стационарных условиях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койко-дней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4 318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2019 года. При корректировке государственной программы в 2019 году показатель был переименован в "Объем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медицинскими организациями МЧС России в стационарных условиях (случаи госпитализации)". Плановое значение на 2019 год скорректировано на 3920 случаев госпитализации. Фактическое значение за 2019 год составило 4318  случаев госпитализации. Вместе с тем в заключени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Счетной палаты Российской Федерации на проект государственной программы от 20.03.2019 № 02-773/02/2-05ДП указано, что переименование показателя некорректно. </w:t>
            </w:r>
            <w:proofErr w:type="gramStart"/>
            <w:r>
              <w:rPr>
                <w:rFonts w:ascii="Times New Roman" w:hAnsi="Times New Roman" w:cs="Times New Roman"/>
              </w:rPr>
              <w:t>Предложено восстановить показатель "Объем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стационарных условиях", а показатель "Объем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медицинскими организациями МЧС России в стационарных условиях (случаи госпитализации)" ввести, как новый.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Данное замечание устранено при корректировке государственной программы в 2020 году (постановления Правительства Российской Федерации от 27.03.2020 № 357). Однако, внесение изменений в значения показателей за прошедший период на портале государственных программ технически невозможно. Таким </w:t>
            </w:r>
            <w:proofErr w:type="gramStart"/>
            <w:r>
              <w:rPr>
                <w:rFonts w:ascii="Times New Roman" w:hAnsi="Times New Roman" w:cs="Times New Roman"/>
              </w:rPr>
              <w:t>образом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выгрузка с портала государственных программ таблицы 16 по годовому отчету за 2020 год некорректна.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амбулаторных условиях</w:t>
            </w:r>
          </w:p>
        </w:tc>
        <w:tc>
          <w:tcPr>
            <w:tcW w:w="675" w:type="pct"/>
          </w:tcPr>
          <w:p w:rsidR="00493280" w:rsidRDefault="007E3858">
            <w:proofErr w:type="spellStart"/>
            <w:r>
              <w:rPr>
                <w:rFonts w:ascii="Times New Roman" w:hAnsi="Times New Roman" w:cs="Times New Roman"/>
              </w:rPr>
              <w:t>ч</w:t>
            </w:r>
            <w:proofErr w:type="gramStart"/>
            <w:r>
              <w:rPr>
                <w:rFonts w:ascii="Times New Roman" w:hAnsi="Times New Roman" w:cs="Times New Roman"/>
              </w:rPr>
              <w:t>e</w:t>
            </w:r>
            <w:proofErr w:type="gramEnd"/>
            <w:r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145 092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2019 года. При корректировке государственной программы в 2019 году показатель был переименован в "Объем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медицинскими организациями МЧС России в амбулаторных условиях (количество посещений)". Плановое значение на 2019 год скорректировано на 122470 количество посещений. Фактическое значение за 2019 год составило 145092 количество посещений. Вместе с тем в заключени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Счетной палаты Российской Федерации на проект государственной программы от 20.03.2019 № 02-773/02/2-05ДП указано, что переименование показателя некорректно. </w:t>
            </w:r>
            <w:proofErr w:type="gramStart"/>
            <w:r>
              <w:rPr>
                <w:rFonts w:ascii="Times New Roman" w:hAnsi="Times New Roman" w:cs="Times New Roman"/>
              </w:rPr>
              <w:t>Предложено восстановить показатель "Объем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амбулаторных условиях", а показатель "Объем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медицинскими организациями МЧС России в амбулаторных условиях (количество посещений)" ввести, как новый.</w:t>
            </w:r>
            <w:proofErr w:type="gramEnd"/>
            <w:r>
              <w:rPr>
                <w:rFonts w:ascii="Times New Roman" w:hAnsi="Times New Roman" w:cs="Times New Roman"/>
              </w:rPr>
              <w:t xml:space="preserve"> Данное замечание устранено при корректировке государственной программы в 2020 году (постановления Правительства Российской Федерации от 27.03.2020 № 357). Однако, при корректировке портала государственных программ значения показателей за прошедший период технически невозможно. Таким </w:t>
            </w:r>
            <w:proofErr w:type="gramStart"/>
            <w:r>
              <w:rPr>
                <w:rFonts w:ascii="Times New Roman" w:hAnsi="Times New Roman" w:cs="Times New Roman"/>
              </w:rPr>
              <w:t>образом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выгрузка с портала государственных программ таблицы 16 по годовому отчету за 2020 год некорректна.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медицинскими организациями МЧС России в стационарных условиях (случаи госпитализации)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4 076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3 121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Не достигнут. Отклонение связано с ограничительными мерами, направленными на предотвращение распространения новой </w:t>
            </w:r>
            <w:proofErr w:type="spellStart"/>
            <w:r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инфекции и обеспечение санитарно-эпидемиологического благополучия населения. Выполнение государственного задания на 2021 - 2023 годы организовано в плановом порядке, приостановка деятельности не планируется. Отклонение показателя укладывается в допустимый диапазон отклонения. Медицинская помощь в 2021 году оказывается в соответствии с фактической потребностью в пределах допустимых отклонений. При корректировке государственной программы в 2020 году учтены замечания Счетной палаты Российской Федерации на проект государственной программы, разрабатываемый в 2019 году, от 20.03.2019 № 02-773/02/2-05ДСП. Учитывая, что технически не представляется возможным скорректировать данные на портале государственных услуг, фактическое  значение показателя за 2019 год отображается в показателе "Объем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стационарных условиях" и составляет 4318 единиц.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Объем специализированной медицинской помощи (за исключением высокотехнологичной медицинской помощи), включенной в базовую программу обязательного медицинского страхования, оказываемой </w:t>
            </w:r>
            <w:proofErr w:type="gramStart"/>
            <w:r>
              <w:rPr>
                <w:rFonts w:ascii="Times New Roman" w:hAnsi="Times New Roman" w:cs="Times New Roman"/>
              </w:rPr>
              <w:t>медицинскими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организацияями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МЧС России в амбулаторных условиях (количество посещений)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127 368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132 567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 Отклонение показателя укладывается в допустимый диапазон отклонения. Медицинская помощь в 2021 году оказывается в соответствии с фактической потребностью в пределах допустимых отклонений. При корректировке государственной программы в 2020 году учтены замечания Счетной палаты Российской Федерации на проект государственной программы, разрабатываемый в 2019 году, от 20.03.2019 № 02-773/02/2-05ДСП. Учитывая, что технически не представляется возможным скорректировать данные на портале государственных услуг, фактическое  значение показателя за 2019 год отображается в показателе "Объем специализированной медицинской помощи (за исключением высокотехнологичной медицинской помощи), оказываемой медицинскими учреждениями МЧС России в амбулаторных условиях" и составляет 145092 единицы.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Выполнение плана нормотворческой деятельности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Ростехнадзора</w:t>
            </w:r>
            <w:proofErr w:type="spellEnd"/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493280"/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Выполнение плана международного сотрудничества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Ростехнадзора</w:t>
            </w:r>
            <w:proofErr w:type="spellEnd"/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Снижение риска возникновения аварий на поднадзорных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опасных производственных объектах (к среднему значению за 2011-2013 годы)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Доля застрахованных опасных производственных объектов в общем количестве поднадзорных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опасных производственных объектов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Доля автоматизированных государственных услуг и функций в общем объеме государственных услуг и функций, на осуществление которых </w:t>
            </w:r>
            <w:proofErr w:type="gramStart"/>
            <w:r>
              <w:rPr>
                <w:rFonts w:ascii="Times New Roman" w:hAnsi="Times New Roman" w:cs="Times New Roman"/>
              </w:rPr>
              <w:t>уполномочен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</w:t>
            </w:r>
            <w:proofErr w:type="spellEnd"/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Уровень удовлетворенности заявителей качеством предоставления государственных услуг, оказываемых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Ростехнадзором</w:t>
            </w:r>
            <w:proofErr w:type="spellEnd"/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Время ожидания в очереди при обращении заявителя в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для получения государственных  услуг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минут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Доля граждан, использующих механизм получения государственных услуг, оказываемых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Ростехнадзором</w:t>
            </w:r>
            <w:proofErr w:type="spellEnd"/>
            <w:r>
              <w:rPr>
                <w:rFonts w:ascii="Times New Roman" w:hAnsi="Times New Roman" w:cs="Times New Roman"/>
              </w:rPr>
              <w:t>, в электронной форме, в общем количестве граждан, получивших государственные услуги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Показатель исключен с 2020 года.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 xml:space="preserve">Среднее число обращений в </w:t>
            </w:r>
            <w:proofErr w:type="spellStart"/>
            <w:r>
              <w:rPr>
                <w:rFonts w:ascii="Times New Roman" w:hAnsi="Times New Roman" w:cs="Times New Roman"/>
              </w:rPr>
              <w:t>Ростехнадзор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представителей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бизнес-сообщества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для получения одной государственной услуги, связанной со сферой предпринимательской деятельности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Подпрограмма Г. Построение и развитие аппаратно-программного комплекса "Безопасный город"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муниципальных районов и городских округов Российской Федерации, в которых создан сегмент аппаратно-программного комплекса</w:t>
            </w:r>
            <w:proofErr w:type="gramStart"/>
            <w:r>
              <w:rPr>
                <w:rFonts w:ascii="Times New Roman" w:hAnsi="Times New Roman" w:cs="Times New Roman"/>
              </w:rPr>
              <w:t>"Б</w:t>
            </w:r>
            <w:proofErr w:type="gramEnd"/>
            <w:r>
              <w:rPr>
                <w:rFonts w:ascii="Times New Roman" w:hAnsi="Times New Roman" w:cs="Times New Roman"/>
              </w:rPr>
              <w:t>езопасный город", обеспечивающий сквозную передачу и обработку информации, целостность и согласованность потоков информации в рамках межведомственного взаимодействия, в общем количестве муниципальных районов и городских округов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Достигнут.</w:t>
            </w:r>
          </w:p>
        </w:tc>
      </w:tr>
      <w:tr w:rsidR="00493280">
        <w:tc>
          <w:tcPr>
            <w:tcW w:w="270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1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Доля субъектов Российской Федерации, использующих единые стандарты, функциональные, технические и прогнозно-аналитические решения аппаратно-программного комплекса "Безопасный город", обеспечивающие сквозную передачу и обработку информации, целостность и согласованность потоков информации в рамках межведомственного взаимодействия, в общем количестве субъектов Российской Федерации</w:t>
            </w:r>
          </w:p>
        </w:tc>
        <w:tc>
          <w:tcPr>
            <w:tcW w:w="675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pct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pct"/>
          </w:tcPr>
          <w:p w:rsidR="00493280" w:rsidRDefault="007E3858">
            <w:r>
              <w:rPr>
                <w:rFonts w:ascii="Times New Roman" w:hAnsi="Times New Roman" w:cs="Times New Roman"/>
              </w:rPr>
              <w:t>Учет показателя начинается с 2022 года.</w:t>
            </w:r>
          </w:p>
        </w:tc>
      </w:tr>
      <w:tr w:rsidR="00493280">
        <w:tc>
          <w:tcPr>
            <w:tcW w:w="270" w:type="pct"/>
            <w:gridSpan w:val="7"/>
          </w:tcPr>
          <w:p w:rsidR="00493280" w:rsidRDefault="007E3858">
            <w:pPr>
              <w:jc w:val="center"/>
            </w:pPr>
            <w:r>
              <w:rPr>
                <w:rFonts w:ascii="Times New Roman" w:hAnsi="Times New Roman" w:cs="Times New Roman"/>
              </w:rPr>
              <w:t>ФЦП Б. Национальная система химической и биологической безопасности Российской Федерации (2015 - 2020 годы)</w:t>
            </w:r>
          </w:p>
        </w:tc>
      </w:tr>
    </w:tbl>
    <w:p w:rsidR="003E74D0" w:rsidRDefault="003E74D0" w:rsidP="00675471"/>
    <w:sectPr w:rsidR="003E74D0" w:rsidSect="00FC3028">
      <w:headerReference w:type="even" r:id="rId6"/>
      <w:headerReference w:type="default" r:id="rId7"/>
      <w:headerReference w:type="first" r:id="rId8"/>
      <w:pgSz w:w="16838" w:h="11906" w:orient="landscape"/>
      <w:pgMar w:top="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4D0" w:rsidRDefault="007E3858">
      <w:r>
        <w:separator/>
      </w:r>
    </w:p>
  </w:endnote>
  <w:endnote w:type="continuationSeparator" w:id="0">
    <w:p w:rsidR="003E74D0" w:rsidRDefault="007E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4D0" w:rsidRDefault="007E3858">
      <w:r>
        <w:separator/>
      </w:r>
    </w:p>
  </w:footnote>
  <w:footnote w:type="continuationSeparator" w:id="0">
    <w:p w:rsidR="003E74D0" w:rsidRDefault="007E3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67547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571950"/>
      <w:docPartObj>
        <w:docPartGallery w:val="Page Numbers (Top of Page)"/>
        <w:docPartUnique/>
      </w:docPartObj>
    </w:sdtPr>
    <w:sdtContent>
      <w:p w:rsidR="008D2BFB" w:rsidRDefault="003E74D0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 w:rsidR="007E3858"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75471">
          <w:rPr>
            <w:rFonts w:ascii="Times New Roman" w:hAnsi="Times New Roman" w:cs="Times New Roman"/>
            <w:noProof/>
          </w:rPr>
          <w:t>39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67547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67547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F62"/>
    <w:rsid w:val="001915A3"/>
    <w:rsid w:val="00217F62"/>
    <w:rsid w:val="003E74D0"/>
    <w:rsid w:val="00493280"/>
    <w:rsid w:val="00675471"/>
    <w:rsid w:val="007E3858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3888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Мокрушина Е.В.</dc:creator>
  <cp:lastModifiedBy>10002</cp:lastModifiedBy>
  <cp:revision>2</cp:revision>
  <dcterms:created xsi:type="dcterms:W3CDTF">2021-04-19T13:53:00Z</dcterms:created>
  <dcterms:modified xsi:type="dcterms:W3CDTF">2021-04-19T13:53:00Z</dcterms:modified>
</cp:coreProperties>
</file>